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54" w:rsidRPr="009E3F54" w:rsidRDefault="009E3F54" w:rsidP="009E3F54">
      <w:pPr>
        <w:spacing w:before="15" w:after="15" w:line="336" w:lineRule="auto"/>
        <w:outlineLvl w:val="2"/>
        <w:rPr>
          <w:rFonts w:ascii="inherit" w:eastAsia="Times New Roman" w:hAnsi="inherit" w:cs="Times New Roman"/>
          <w:color w:val="000000"/>
          <w:sz w:val="24"/>
          <w:szCs w:val="24"/>
          <w:lang w:eastAsia="cs-CZ"/>
        </w:rPr>
      </w:pPr>
      <w:bookmarkStart w:id="0" w:name="_GoBack"/>
      <w:bookmarkEnd w:id="0"/>
      <w:r w:rsidRPr="009E3F54">
        <w:rPr>
          <w:rFonts w:ascii="inherit" w:eastAsia="Times New Roman" w:hAnsi="inherit" w:cs="Times New Roman"/>
          <w:color w:val="000000"/>
          <w:sz w:val="24"/>
          <w:szCs w:val="24"/>
          <w:lang w:eastAsia="cs-CZ"/>
        </w:rPr>
        <w:t>Vydání ověřeného výstupu ze Seznamu kvalifikovaných dodavatelů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 xml:space="preserve">Seznam kvalifikovaných dodavatelů je veden </w:t>
      </w:r>
      <w:hyperlink r:id="rId5" w:history="1">
        <w:r w:rsidRPr="009E3F54">
          <w:rPr>
            <w:rFonts w:ascii="&amp;quot" w:eastAsia="Times New Roman" w:hAnsi="&amp;quot" w:cs="Times New Roman"/>
            <w:color w:val="337AB7"/>
            <w:sz w:val="21"/>
            <w:szCs w:val="21"/>
            <w:u w:val="single"/>
            <w:lang w:eastAsia="cs-CZ"/>
          </w:rPr>
          <w:t>Ministerstvem místního rozvoje</w:t>
        </w:r>
      </w:hyperlink>
      <w:r w:rsidRPr="009E3F54">
        <w:rPr>
          <w:rFonts w:ascii="&amp;quot" w:eastAsia="Times New Roman" w:hAnsi="&amp;quot" w:cs="Times New Roman"/>
          <w:color w:val="333333"/>
          <w:sz w:val="21"/>
          <w:szCs w:val="21"/>
          <w:lang w:eastAsia="cs-CZ"/>
        </w:rPr>
        <w:t xml:space="preserve"> jako součást Informačního systému o veřejných zakázkách. Ministerstvo místního rozvoje do seznamu zapisuje dodavatele, kteří splnili kvalifikaci podle zákona č. 134/2016 Sb., o zadávání veřejných zakázek, splnění kvalifikace doložili ministerstvu příslušnými doklady a zaplatili správní poplatek.</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Tato služba je především určena firmám a dodavatelům, kteří mají zájem se ucházet o veřejné zakázky. Výpisem ze Seznamu kvalifikovaných dodavatelů tak může dodavatel v zadávacím řízení nahradit doklady prokazující splnění základních a profesních kvalifikačních kritérií. Zadavatel je povinen výpis ze seznamu uznat, není-li starší více než 3 měsíce.</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Jde o veřejný rejstřík, požádat o výstup může kdokoliv. Pro získání výstupu ze Seznamu kvalifikovaných dodavatelů je nutné znát pouze identifikační číslo organizace.</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Vydání první strany výpisu je zpoplatněno částkou, jejíž maximální výše je zákonem omezena na 100,- Kč; každá další strana výpisu je zpoplatněna částkou, jejíž maximální výše je zákonem omezena na 50,- Kč.</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bodového hodnocení řidiče</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Tato služba umožňuje občanům zjistit na kontaktním místě veřejné správy stav trestných bodů (bez bodů ve správním řízení). Výpis je poskytován z Centrálního registru řidičů vedeného </w:t>
      </w:r>
      <w:hyperlink r:id="rId6" w:history="1">
        <w:r>
          <w:rPr>
            <w:rStyle w:val="Hypertextovodkaz"/>
            <w:rFonts w:ascii="&amp;quot" w:hAnsi="&amp;quot"/>
            <w:color w:val="337AB7"/>
            <w:sz w:val="21"/>
            <w:szCs w:val="21"/>
          </w:rPr>
          <w:t>Ministerstvem dopravy</w:t>
        </w:r>
      </w:hyperlink>
      <w:r>
        <w:rPr>
          <w:rFonts w:ascii="&amp;quot" w:hAnsi="&amp;quot"/>
          <w:color w:val="333333"/>
          <w:sz w:val="21"/>
          <w:szCs w:val="21"/>
        </w:rPr>
        <w:t>, jehož součástí je právě i evidence bodového hodnocení. Tento výpis má pouze informativní charakter pro občany, nenahrazuje výpis z karty řidiče pro styk s úřady.</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Vydávání výpisů o trestných bodech řidičů kontaktními místy veřejné správy je upraveno </w:t>
      </w:r>
      <w:hyperlink r:id="rId7" w:tgtFrame="_blank" w:history="1">
        <w:r>
          <w:rPr>
            <w:rStyle w:val="Hypertextovodkaz"/>
            <w:rFonts w:ascii="&amp;quot" w:hAnsi="&amp;quot"/>
            <w:color w:val="337AB7"/>
            <w:sz w:val="21"/>
            <w:szCs w:val="21"/>
          </w:rPr>
          <w:t>zákonem č. 480/2008 Sb</w:t>
        </w:r>
        <w:r>
          <w:rPr>
            <w:rStyle w:val="Siln"/>
            <w:rFonts w:ascii="&amp;quot" w:hAnsi="&amp;quot"/>
            <w:color w:val="337AB7"/>
            <w:sz w:val="21"/>
            <w:szCs w:val="21"/>
          </w:rPr>
          <w:t>.</w:t>
        </w:r>
      </w:hyperlink>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O výpis může zažádat pouze žadatel sám, nebo jím určený zmocněnec. Osoba, která na pracovišti Czech POINT o výpis žádá, musí mít platný doklad totožnosti (občanský průkaz, cestovní pas) a musí mít přiděleno rodné číslo. Výpis lze vydat i cizincům, kteří mají například trvalé bydliště v České republice.</w:t>
      </w:r>
      <w:r>
        <w:rPr>
          <w:rFonts w:ascii="&amp;quot" w:hAnsi="&amp;quot"/>
          <w:color w:val="333333"/>
          <w:sz w:val="21"/>
          <w:szCs w:val="21"/>
        </w:rPr>
        <w:br/>
        <w:t>Pro dohledání řidiče v registru je možné nepovinně zadat i číslo řidičského průkazu.</w:t>
      </w:r>
      <w:r>
        <w:rPr>
          <w:rFonts w:ascii="&amp;quot" w:hAnsi="&amp;quot"/>
          <w:color w:val="333333"/>
          <w:sz w:val="21"/>
          <w:szCs w:val="21"/>
        </w:rPr>
        <w:br/>
        <w:t>Správní poplatek, který žadatel zaplatí na samosprávních úřadech je za první stránku max. 100,-Kč a za každou další max. 50,-Kč. U ostatních provozovatelů kontaktních míst (Česká pošta, Hospodářská komora, notáři) se poplatek řídí vnitřními sazebníky jednotlivých organizací.</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insolvenčního rejstříku</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Insolvenční rejstřík je informační systém veřejné správy, který je spravován </w:t>
      </w:r>
      <w:hyperlink r:id="rId8" w:history="1">
        <w:r>
          <w:rPr>
            <w:rStyle w:val="Hypertextovodkaz"/>
            <w:rFonts w:ascii="&amp;quot" w:hAnsi="&amp;quot"/>
            <w:color w:val="337AB7"/>
            <w:sz w:val="21"/>
            <w:szCs w:val="21"/>
          </w:rPr>
          <w:t>Ministerstvem spravedlnosti ČR</w:t>
        </w:r>
      </w:hyperlink>
      <w:r>
        <w:rPr>
          <w:rFonts w:ascii="&amp;quot" w:hAnsi="&amp;quot"/>
          <w:color w:val="333333"/>
          <w:sz w:val="21"/>
          <w:szCs w:val="21"/>
        </w:rPr>
        <w:t>. Jeho základní úlohou je zajistit maximální míru publicity o insolvenčních řízeních a umožnit sledování jejich průběhu. Prostřednictvím insolvenčního rejstříku jsou zveřejňovány veškeré relevantní informace týkající se insolvenčních správců, dokumenty z insolvenčních spisů i zákonem stanovené informace týkající se dlužníků.</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Jedná se o veřejně přístupný rejstřík, není tedy nutné ověřovat totožnost žadatele. V rejstříku je možné vyhledávat na základě dvou parametrů – identifikačního čísla organizace (hledání příslušné organizace) a podle osobních údajů (hledání konkrétní osoby). Poplatek za ověřený výpis se řídí zákonem o správních poplatcích, tzn. 100 Kč za první stranu a 50 Kč za každou následující stranu.</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Katastru nemovitostí</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O výpis z Katastru nemovitostí České republiky může požádat anonymní žadatel. Výpis lze požadovat na základě listu vlastnictví nebo podle seznamu nemovitostí.</w:t>
      </w:r>
    </w:p>
    <w:p w:rsidR="009E3F54" w:rsidRDefault="009E3F54" w:rsidP="009E3F54">
      <w:pPr>
        <w:numPr>
          <w:ilvl w:val="0"/>
          <w:numId w:val="1"/>
        </w:numPr>
        <w:spacing w:before="100" w:beforeAutospacing="1" w:after="100" w:afterAutospacing="1" w:line="240" w:lineRule="auto"/>
        <w:rPr>
          <w:rFonts w:ascii="&amp;quot" w:hAnsi="&amp;quot"/>
          <w:color w:val="333333"/>
          <w:sz w:val="21"/>
          <w:szCs w:val="21"/>
        </w:rPr>
      </w:pPr>
      <w:r>
        <w:rPr>
          <w:rFonts w:ascii="&amp;quot" w:hAnsi="&amp;quot"/>
          <w:color w:val="333333"/>
          <w:sz w:val="21"/>
          <w:szCs w:val="21"/>
        </w:rPr>
        <w:t xml:space="preserve">Pokud žadatel žádá výpis podle </w:t>
      </w:r>
      <w:r>
        <w:rPr>
          <w:rStyle w:val="Siln"/>
          <w:rFonts w:ascii="&amp;quot" w:hAnsi="&amp;quot"/>
          <w:color w:val="333333"/>
          <w:sz w:val="21"/>
          <w:szCs w:val="21"/>
        </w:rPr>
        <w:t>listu vlastnictví</w:t>
      </w:r>
      <w:r>
        <w:rPr>
          <w:rFonts w:ascii="&amp;quot" w:hAnsi="&amp;quot"/>
          <w:color w:val="333333"/>
          <w:sz w:val="21"/>
          <w:szCs w:val="21"/>
        </w:rPr>
        <w:t>, musí znát katastrální území a číslo listu vlastnictví. Vydání první strany výpisu je zpoplatněno částkou, jejíž maximální výše je zákonem omezena na 100,- Kč; každá další strana výpisu je zpoplatněna částkou, jejíž maximální výše je zákonem omezena na 50,- Kč.</w:t>
      </w:r>
    </w:p>
    <w:p w:rsidR="009E3F54" w:rsidRDefault="009E3F54" w:rsidP="009E3F54">
      <w:pPr>
        <w:numPr>
          <w:ilvl w:val="0"/>
          <w:numId w:val="1"/>
        </w:numPr>
        <w:spacing w:before="100" w:beforeAutospacing="1" w:after="100" w:afterAutospacing="1" w:line="240" w:lineRule="auto"/>
        <w:rPr>
          <w:rFonts w:ascii="&amp;quot" w:hAnsi="&amp;quot"/>
          <w:color w:val="333333"/>
          <w:sz w:val="21"/>
          <w:szCs w:val="21"/>
        </w:rPr>
      </w:pPr>
      <w:r>
        <w:rPr>
          <w:rFonts w:ascii="&amp;quot" w:hAnsi="&amp;quot"/>
          <w:color w:val="333333"/>
          <w:sz w:val="21"/>
          <w:szCs w:val="21"/>
        </w:rPr>
        <w:lastRenderedPageBreak/>
        <w:t xml:space="preserve">Pokud žadatel žádá o výpis podle </w:t>
      </w:r>
      <w:r>
        <w:rPr>
          <w:rStyle w:val="Siln"/>
          <w:rFonts w:ascii="&amp;quot" w:hAnsi="&amp;quot"/>
          <w:color w:val="333333"/>
          <w:sz w:val="21"/>
          <w:szCs w:val="21"/>
        </w:rPr>
        <w:t>seznamu nemovitostí</w:t>
      </w:r>
      <w:r>
        <w:rPr>
          <w:rFonts w:ascii="&amp;quot" w:hAnsi="&amp;quot"/>
          <w:color w:val="333333"/>
          <w:sz w:val="21"/>
          <w:szCs w:val="21"/>
        </w:rPr>
        <w:t>, měl by znát katastrální území a dále buď parcelní číslo požadované nemovitosti, jedná-li se o pozemek, nebo stavební parcelu případně číslo popisné, jedná-li se o stavbu. I v tomto případě je poplatek za ověřený výstup stejný jako v předchozím případě.</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O výpis lze zažádat i podle seznamu jednotek, v případě, že budova je dělena na jednotky, což je typické u větších staveb, dělících se na jednotlivé byty, garáže atd. V tomto případě pochopitelně musí žadatel znát nejen popisné číslo domu, ale i přesné číslo bytu v domě.</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Na kontaktních místech lze žádat o úplný nebo </w:t>
      </w:r>
      <w:r>
        <w:rPr>
          <w:rStyle w:val="Siln"/>
          <w:rFonts w:ascii="&amp;quot" w:hAnsi="&amp;quot"/>
          <w:color w:val="333333"/>
          <w:sz w:val="21"/>
          <w:szCs w:val="21"/>
        </w:rPr>
        <w:t>částečný výpis z Katastru nemovitostí</w:t>
      </w:r>
      <w:r>
        <w:rPr>
          <w:rFonts w:ascii="&amp;quot" w:hAnsi="&amp;quot"/>
          <w:color w:val="333333"/>
          <w:sz w:val="21"/>
          <w:szCs w:val="21"/>
        </w:rPr>
        <w:t>, kdy lze vydat výpis např. pouze s některými nemovitostmi, uvedenými na listu vlastnictví.</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Požádat lze rovněž o </w:t>
      </w:r>
      <w:r>
        <w:rPr>
          <w:rStyle w:val="Siln"/>
          <w:rFonts w:ascii="&amp;quot" w:hAnsi="&amp;quot"/>
          <w:color w:val="333333"/>
          <w:sz w:val="21"/>
          <w:szCs w:val="21"/>
        </w:rPr>
        <w:t>výpis snímku z katastrální mapy</w:t>
      </w:r>
      <w:r>
        <w:rPr>
          <w:rFonts w:ascii="&amp;quot" w:hAnsi="&amp;quot"/>
          <w:color w:val="333333"/>
          <w:sz w:val="21"/>
          <w:szCs w:val="21"/>
        </w:rPr>
        <w:t>. V tomto případě musí žadatel znát v případě pozemku údaje o parcele (kmenové číslo a poddělení čísla), nebo v případě stavby typ a číslo stavby.</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Rejstříku trestů</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Žadatel o výpis z Rejstříku trestů musí mít platný doklad totožnosti a musí mít přiděleno rodné číslo. To znamená, že výpis lze vydat i cizincům, kteří mají například trvalé bydliště v České republice. Na pracovištích Czech POINT lze vydávat výpisy i zplnomocněncům, kteří žádají o výpis z Rejstříku trestů na základě úředně ověřené plné moci.</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Žadatel může požádat, aby do výpisu byly zahrnuty také údaje z Rejstříku trestů z jiného členského státu EU, v němž žadatel pobýval.</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V dalším kroku se vytiskne žádost o vydání výpisu, kterou žadatel podepíše.</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Podle </w:t>
      </w:r>
      <w:hyperlink r:id="rId9" w:tgtFrame="_blank" w:history="1">
        <w:r>
          <w:rPr>
            <w:rStyle w:val="Hypertextovodkaz"/>
            <w:rFonts w:ascii="&amp;quot" w:hAnsi="&amp;quot"/>
            <w:color w:val="337AB7"/>
            <w:sz w:val="21"/>
            <w:szCs w:val="21"/>
          </w:rPr>
          <w:t>§11a odst. 1 zákona č. 269/1994 Sb.</w:t>
        </w:r>
      </w:hyperlink>
      <w:r>
        <w:rPr>
          <w:rFonts w:ascii="&amp;quot" w:hAnsi="&amp;quot"/>
          <w:color w:val="333333"/>
          <w:sz w:val="21"/>
          <w:szCs w:val="21"/>
        </w:rPr>
        <w:t>, o Rejstříku trestů, v platném znění lze vydat výpis z evidence Rejstříku trestů osobě, které se výpis týká, pouze na základě písemné žádosti. Tuto žádost není třeba ručně vyplňovat, klient ji obdrží vyplněnou k podpisu předtím, než mu je výpis z Rejstříku trestů vydán. Tato žádost se archivuje dle zákona.</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Na základě podepsané písemné žádosti odešle pracovník Czech POINT elektronickou žádost na Rejstřík trestů, který odpoví buď předáním výpisu, nebo informací o zařazení žádosti do tzv. manuálního zpracování.</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V případě, že Rejstřík trestů odpoví předáním elektronického výpisu, se tento výpis vytiskne, doplní ověřovací doložkou a zkompletuje. Žadatel převezme výpis a zaplatí správní poplatek ve výši 100 Kč (bez ohledu na počet stran, v souladu se </w:t>
      </w:r>
      <w:hyperlink r:id="rId10" w:tgtFrame="_blank" w:history="1">
        <w:r>
          <w:rPr>
            <w:rStyle w:val="Hypertextovodkaz"/>
            <w:rFonts w:ascii="&amp;quot" w:hAnsi="&amp;quot"/>
            <w:color w:val="337AB7"/>
            <w:sz w:val="21"/>
            <w:szCs w:val="21"/>
          </w:rPr>
          <w:t>zákonem č. 634/2004 Sb.</w:t>
        </w:r>
      </w:hyperlink>
      <w:r>
        <w:rPr>
          <w:rFonts w:ascii="&amp;quot" w:hAnsi="&amp;quot"/>
          <w:color w:val="333333"/>
          <w:sz w:val="21"/>
          <w:szCs w:val="21"/>
        </w:rPr>
        <w:t>, o správních poplatcích ve znění pozdějších předpisů). Správní poplatek je příjmem ověřující obce. Na poskytnutý výpis se nevylepuje žádný kolek.</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V případě tzv. manuálního zpracování je žadateli pouze vytištěn tzv. šatní lístek, který obsahuje lhůtu, do kdy by měl být výpis připraven. Žadatel v daném termínu dorazí libovolné kontaktní místo a na základě šatního lístku a dokladu totožnosti si nechá vydat výpis z Rejstříku trestů. Žadatel uhradí správní poplatek ve výši 100 Kč bez ohledu na počet stran.</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Rejstříku trestů právnické osoby</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 xml:space="preserve">V souvislosti s přijetím </w:t>
      </w:r>
      <w:hyperlink r:id="rId11" w:tgtFrame="_blank" w:history="1">
        <w:r>
          <w:rPr>
            <w:rStyle w:val="Hypertextovodkaz"/>
            <w:rFonts w:ascii="&amp;quot" w:hAnsi="&amp;quot"/>
            <w:color w:val="337AB7"/>
            <w:sz w:val="21"/>
            <w:szCs w:val="21"/>
          </w:rPr>
          <w:t>zákona č. 418/2011 Sb.</w:t>
        </w:r>
      </w:hyperlink>
      <w:r>
        <w:rPr>
          <w:rFonts w:ascii="&amp;quot" w:hAnsi="&amp;quot"/>
          <w:color w:val="333333"/>
          <w:sz w:val="21"/>
          <w:szCs w:val="21"/>
        </w:rPr>
        <w:t xml:space="preserve">, o trestní odpovědnosti právnických osob a řízení proti nim, a </w:t>
      </w:r>
      <w:hyperlink r:id="rId12" w:tgtFrame="_blank" w:history="1">
        <w:r>
          <w:rPr>
            <w:rStyle w:val="Hypertextovodkaz"/>
            <w:rFonts w:ascii="&amp;quot" w:hAnsi="&amp;quot"/>
            <w:color w:val="337AB7"/>
            <w:sz w:val="21"/>
            <w:szCs w:val="21"/>
          </w:rPr>
          <w:t>zákona č. 420/2011 Sb.</w:t>
        </w:r>
      </w:hyperlink>
      <w:r>
        <w:rPr>
          <w:rFonts w:ascii="&amp;quot" w:hAnsi="&amp;quot"/>
          <w:color w:val="333333"/>
          <w:sz w:val="21"/>
          <w:szCs w:val="21"/>
        </w:rPr>
        <w:t>, o změně některých zákonů v souvislosti s přijetím zákona o trestní odpovědnosti právnických osob a řízení proti nim, vznikla na Ministerstvu spravedlnosti evidence Rejstříku trestů právnické osoby.</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Z této evidence je vydáván výpis z Rejstříku trestů právnické osoby. Údaje z evidence Rejstříku trestů právnických osob, které se uvádějí ve výpisu, jsou veřejně přístupné, žadatelem může být kterákoliv fyzická osoba. Z tohoto důvodu se při podání žádosti o výpis týkající se právnické osoby neověřuje totožnost osoby, která žádost podává. Žádost se netiskne, ani nearchivuje.</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Správní poplatek za vydání výpisu je ve výši max. 100 Kč za první stranu a za každou následující max. 50 Kč.</w:t>
      </w:r>
      <w:r>
        <w:rPr>
          <w:rFonts w:ascii="&amp;quot" w:hAnsi="&amp;quot"/>
          <w:color w:val="333333"/>
          <w:sz w:val="21"/>
          <w:szCs w:val="21"/>
        </w:rPr>
        <w:br/>
      </w:r>
      <w:r>
        <w:rPr>
          <w:rFonts w:ascii="&amp;quot" w:hAnsi="&amp;quot"/>
          <w:color w:val="333333"/>
          <w:sz w:val="21"/>
          <w:szCs w:val="21"/>
        </w:rPr>
        <w:lastRenderedPageBreak/>
        <w:t>V případě, že subjekt nemá v České republice přiděleno identifikační číslo osoby, nelze vydat výpis na počkání</w:t>
      </w:r>
      <w:r>
        <w:rPr>
          <w:rFonts w:ascii="&amp;quot" w:hAnsi="&amp;quot"/>
          <w:b/>
          <w:bCs/>
          <w:color w:val="333333"/>
          <w:sz w:val="21"/>
          <w:szCs w:val="21"/>
        </w:rPr>
        <w:t>.</w:t>
      </w:r>
      <w:r>
        <w:rPr>
          <w:rFonts w:ascii="&amp;quot" w:hAnsi="&amp;quot"/>
          <w:color w:val="333333"/>
          <w:sz w:val="21"/>
          <w:szCs w:val="21"/>
        </w:rPr>
        <w:t xml:space="preserve"> Žadatel se může obrátit přímo na Rejstřík trestů, Soudní 140 66, Praha 4. Vzor žádosti o výpis lze nalézt </w:t>
      </w:r>
      <w:hyperlink r:id="rId13" w:history="1">
        <w:r>
          <w:rPr>
            <w:rStyle w:val="Hypertextovodkaz"/>
            <w:rFonts w:ascii="&amp;quot" w:hAnsi="&amp;quot"/>
            <w:color w:val="337AB7"/>
            <w:sz w:val="21"/>
            <w:szCs w:val="21"/>
          </w:rPr>
          <w:t>zde</w:t>
        </w:r>
      </w:hyperlink>
      <w:r>
        <w:rPr>
          <w:rFonts w:ascii="&amp;quot" w:hAnsi="&amp;quot"/>
          <w:color w:val="333333"/>
          <w:sz w:val="21"/>
          <w:szCs w:val="21"/>
        </w:rPr>
        <w:t>.</w:t>
      </w:r>
    </w:p>
    <w:p w:rsidR="009E3F54" w:rsidRPr="009E3F54" w:rsidRDefault="009E3F54" w:rsidP="009E3F54">
      <w:pPr>
        <w:spacing w:before="15"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Výpis z Veřejných rejstříků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 xml:space="preserve">O výpis z Veřejných rejstříků (viz </w:t>
      </w:r>
      <w:hyperlink r:id="rId14" w:tgtFrame="_blank" w:history="1">
        <w:r w:rsidRPr="009E3F54">
          <w:rPr>
            <w:rFonts w:ascii="&amp;quot" w:eastAsia="Times New Roman" w:hAnsi="&amp;quot" w:cs="Times New Roman"/>
            <w:color w:val="337AB7"/>
            <w:sz w:val="21"/>
            <w:szCs w:val="21"/>
            <w:u w:val="single"/>
            <w:lang w:eastAsia="cs-CZ"/>
          </w:rPr>
          <w:t>zákon č. 304/2013 Sb.</w:t>
        </w:r>
      </w:hyperlink>
      <w:r w:rsidRPr="009E3F54">
        <w:rPr>
          <w:rFonts w:ascii="&amp;quot" w:eastAsia="Times New Roman" w:hAnsi="&amp;quot" w:cs="Times New Roman"/>
          <w:color w:val="333333"/>
          <w:sz w:val="21"/>
          <w:szCs w:val="21"/>
          <w:lang w:eastAsia="cs-CZ"/>
        </w:rPr>
        <w:t>, o veřejných rejstřících právnických a fyzických osob) může požádat anonymní žadatel. Výpis lze požadovat na základě znalosti identifikačního čísla osoby (IČO) zapsané v jednom z veřejných rejstříků.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Veřejnými rejstříky právnických a fyzických osob se rozumí:</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spolkový rejstřík</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nadační rejstřík</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rejstřík ústavů</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rejstřík společenství vlastníků jednotek</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obchodní rejstřík</w:t>
      </w:r>
    </w:p>
    <w:p w:rsidR="009E3F54" w:rsidRPr="009E3F54" w:rsidRDefault="009E3F54" w:rsidP="009E3F54">
      <w:pPr>
        <w:numPr>
          <w:ilvl w:val="0"/>
          <w:numId w:val="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rejstřík obecně prospěšných společností</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Pracovník kontaktního místa Czech POINT může vydat:</w:t>
      </w:r>
    </w:p>
    <w:p w:rsidR="009E3F54" w:rsidRPr="009E3F54" w:rsidRDefault="009E3F54" w:rsidP="009E3F54">
      <w:pPr>
        <w:numPr>
          <w:ilvl w:val="0"/>
          <w:numId w:val="3"/>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Úplný výpis – jsou v něm obsaženy všechny informace, které byly zapsány v obchodním rejstříku po dobu existence firmy.</w:t>
      </w:r>
    </w:p>
    <w:p w:rsidR="009E3F54" w:rsidRPr="009E3F54" w:rsidRDefault="009E3F54" w:rsidP="009E3F54">
      <w:pPr>
        <w:numPr>
          <w:ilvl w:val="0"/>
          <w:numId w:val="3"/>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Výpis platných – obsahuje souhrn informací o firmě k aktuálnímu datu.</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Vydání první strany výpisu je zpoplatněno částkou, jejíž maximální výše je zákonem omezena na 100 Kč; každá další strana výpisu je zpoplatněna částkou, jejíž maximální výše je zákonem omezena na 50 Kč.</w:t>
      </w:r>
    </w:p>
    <w:p w:rsidR="009E3F54" w:rsidRDefault="009E3F54" w:rsidP="009E3F54">
      <w:pPr>
        <w:pStyle w:val="Nadpis3"/>
        <w:spacing w:before="15" w:beforeAutospacing="0" w:after="15" w:afterAutospacing="0" w:line="336" w:lineRule="auto"/>
        <w:rPr>
          <w:rFonts w:ascii="inherit" w:hAnsi="inherit"/>
          <w:b w:val="0"/>
          <w:bCs w:val="0"/>
          <w:color w:val="000000"/>
          <w:sz w:val="24"/>
          <w:szCs w:val="24"/>
        </w:rPr>
      </w:pPr>
      <w:r>
        <w:rPr>
          <w:rFonts w:ascii="inherit" w:hAnsi="inherit"/>
          <w:b w:val="0"/>
          <w:bCs w:val="0"/>
          <w:color w:val="000000"/>
          <w:sz w:val="24"/>
          <w:szCs w:val="24"/>
        </w:rPr>
        <w:t>Výpis z Živnostenského rejstříku</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O výpis z Živnostenského rejstříku České republiky může požádat anonymní žadatel.</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Výpis lze požadovat na základě znalosti identifikačního čísla (IČO) organizace.</w:t>
      </w:r>
    </w:p>
    <w:p w:rsidR="009E3F54" w:rsidRDefault="009E3F54" w:rsidP="009E3F54">
      <w:pPr>
        <w:pStyle w:val="Normlnweb"/>
        <w:spacing w:before="0" w:beforeAutospacing="0" w:after="150" w:afterAutospacing="0"/>
        <w:rPr>
          <w:rFonts w:ascii="&amp;quot" w:hAnsi="&amp;quot"/>
          <w:color w:val="333333"/>
          <w:sz w:val="21"/>
          <w:szCs w:val="21"/>
        </w:rPr>
      </w:pPr>
      <w:r>
        <w:rPr>
          <w:rFonts w:ascii="&amp;quot" w:hAnsi="&amp;quot"/>
          <w:color w:val="333333"/>
          <w:sz w:val="21"/>
          <w:szCs w:val="21"/>
        </w:rPr>
        <w:t>Vydání první strany výpisu je zpoplatněno částkou, jejíž maximální výše je zákonem omezena na 100,- Kč; každá další strana výpisu je zpoplatněna částkou, jejíž maximální výše je zákonem omezena na 50,- Kč.</w:t>
      </w:r>
    </w:p>
    <w:p w:rsidR="009E3F54" w:rsidRPr="009E3F54" w:rsidRDefault="009E3F54" w:rsidP="009E3F54">
      <w:pPr>
        <w:spacing w:before="300" w:after="150" w:line="240" w:lineRule="auto"/>
        <w:outlineLvl w:val="2"/>
        <w:rPr>
          <w:rFonts w:ascii="inherit" w:eastAsia="Times New Roman" w:hAnsi="inherit" w:cs="Times New Roman"/>
          <w:sz w:val="36"/>
          <w:szCs w:val="36"/>
          <w:lang w:eastAsia="cs-CZ"/>
        </w:rPr>
      </w:pPr>
      <w:r w:rsidRPr="009E3F54">
        <w:rPr>
          <w:rFonts w:ascii="inherit" w:eastAsia="Times New Roman" w:hAnsi="inherit" w:cs="Times New Roman"/>
          <w:sz w:val="36"/>
          <w:szCs w:val="36"/>
          <w:lang w:eastAsia="cs-CZ"/>
        </w:rPr>
        <w:t>Základní registry</w:t>
      </w:r>
    </w:p>
    <w:p w:rsidR="009E3F54" w:rsidRPr="009E3F54" w:rsidRDefault="009E3F54" w:rsidP="009E3F54">
      <w:pPr>
        <w:spacing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Obecně o agendách základních registrů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 xml:space="preserve">Na základě </w:t>
      </w:r>
      <w:hyperlink r:id="rId15" w:tgtFrame="_blank" w:history="1">
        <w:r w:rsidRPr="009E3F54">
          <w:rPr>
            <w:rFonts w:ascii="&amp;quot" w:eastAsia="Times New Roman" w:hAnsi="&amp;quot" w:cs="Times New Roman"/>
            <w:color w:val="337AB7"/>
            <w:sz w:val="21"/>
            <w:szCs w:val="21"/>
            <w:u w:val="single"/>
            <w:lang w:eastAsia="cs-CZ"/>
          </w:rPr>
          <w:t>zákona č.111/2009 Sb.</w:t>
        </w:r>
      </w:hyperlink>
      <w:r w:rsidRPr="009E3F54">
        <w:rPr>
          <w:rFonts w:ascii="&amp;quot" w:eastAsia="Times New Roman" w:hAnsi="&amp;quot" w:cs="Times New Roman"/>
          <w:color w:val="333333"/>
          <w:sz w:val="21"/>
          <w:szCs w:val="21"/>
          <w:lang w:eastAsia="cs-CZ"/>
        </w:rPr>
        <w:t>, o základních registrech, v pozdějším znění jsou provozovány základní registry, které tvoří:</w:t>
      </w:r>
    </w:p>
    <w:p w:rsidR="009E3F54" w:rsidRPr="009E3F54" w:rsidRDefault="009E3F54" w:rsidP="009E3F54">
      <w:pPr>
        <w:numPr>
          <w:ilvl w:val="0"/>
          <w:numId w:val="4"/>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registr obyvatel (ROB),</w:t>
      </w:r>
    </w:p>
    <w:p w:rsidR="009E3F54" w:rsidRPr="009E3F54" w:rsidRDefault="009E3F54" w:rsidP="009E3F54">
      <w:pPr>
        <w:numPr>
          <w:ilvl w:val="0"/>
          <w:numId w:val="4"/>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registr osob (ROS),</w:t>
      </w:r>
    </w:p>
    <w:p w:rsidR="009E3F54" w:rsidRPr="009E3F54" w:rsidRDefault="009E3F54" w:rsidP="009E3F54">
      <w:pPr>
        <w:numPr>
          <w:ilvl w:val="0"/>
          <w:numId w:val="4"/>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registr práv a povinností (RPP) a</w:t>
      </w:r>
    </w:p>
    <w:p w:rsidR="009E3F54" w:rsidRPr="009E3F54" w:rsidRDefault="009E3F54" w:rsidP="009E3F54">
      <w:pPr>
        <w:numPr>
          <w:ilvl w:val="0"/>
          <w:numId w:val="4"/>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registr územní identifikace adres a nemovitostí (RUIAN).</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 xml:space="preserve">Veškeré informace k základním registrům naleznete na webu Správy základních registrů: </w:t>
      </w:r>
      <w:hyperlink r:id="rId16" w:tgtFrame="_blank" w:history="1">
        <w:r w:rsidRPr="009E3F54">
          <w:rPr>
            <w:rFonts w:ascii="&amp;quot" w:eastAsia="Times New Roman" w:hAnsi="&amp;quot" w:cs="Times New Roman"/>
            <w:color w:val="337AB7"/>
            <w:sz w:val="21"/>
            <w:szCs w:val="21"/>
            <w:u w:val="single"/>
            <w:lang w:eastAsia="cs-CZ"/>
          </w:rPr>
          <w:t>http://www.szrcr.cz/</w:t>
        </w:r>
      </w:hyperlink>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 xml:space="preserve">Kontaktní místa Czech POINT provádějí několik agend základních registrů podle § 14 výše zmíněného zákona. Jedná se buď o pořízení výpisu z příslušného registru, nebo o žádost o změnu údajů v registru. Žadatelem může být fyzická osoba, nebo podnikající fyzická osoba. Dále to může být zmocněnec, který musí předložit úředně ověřenou plnou moc, nebo zákonný zástupce (rodič, </w:t>
      </w:r>
      <w:r w:rsidRPr="009E3F54">
        <w:rPr>
          <w:rFonts w:ascii="&amp;quot" w:eastAsia="Times New Roman" w:hAnsi="&amp;quot" w:cs="Times New Roman"/>
          <w:color w:val="333333"/>
          <w:sz w:val="21"/>
          <w:szCs w:val="21"/>
          <w:lang w:eastAsia="cs-CZ"/>
        </w:rPr>
        <w:lastRenderedPageBreak/>
        <w:t>opatrovník), který předkládá doklady, jež ho opravňují být zákonným zástupcem (rodný list, rozhodnutí od soudu, atd.).</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Cena za výpis je standardně dle Sazebníku správních poplatků, tedy max. 100 Kč za první stanu za každou další max. 50 Kč.</w:t>
      </w:r>
    </w:p>
    <w:p w:rsidR="009E3F54" w:rsidRPr="009E3F54" w:rsidRDefault="009E3F54" w:rsidP="009E3F54">
      <w:pPr>
        <w:spacing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Seznam agend základních registrů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Na kontaktních místech veřejné správy (Czech POINT) jsou zajišťovány následující agendy základních registrů:</w:t>
      </w:r>
    </w:p>
    <w:p w:rsidR="009E3F54" w:rsidRPr="009E3F54" w:rsidRDefault="009E3F54" w:rsidP="009E3F54">
      <w:pPr>
        <w:numPr>
          <w:ilvl w:val="0"/>
          <w:numId w:val="5"/>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Výpis údajů z registru obyvatel (ROB) – neveřejný</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v této agendě požádat o výpis referenčních údajů, které jsou o jeho osobě vedeny v registru obyvatel (ROB). Provádí se ověření totožnosti žadatele nebo zmocnitele.</w:t>
      </w:r>
    </w:p>
    <w:p w:rsidR="009E3F54" w:rsidRPr="009E3F54" w:rsidRDefault="009E3F54" w:rsidP="009E3F54">
      <w:pPr>
        <w:numPr>
          <w:ilvl w:val="0"/>
          <w:numId w:val="6"/>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Výpis údajů z registru osob (ROS) – neveřejný</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V této agendě lze požádat o výpis referenčních údajů podnikající fyzické osoby, evidované v registru osob (ROS). Provádí se ověření totožnosti žadatele, který musí být danou podnikající fyzickou osobou, nebo musí být touto osobou zplnomocněn.</w:t>
      </w:r>
    </w:p>
    <w:p w:rsidR="009E3F54" w:rsidRPr="009E3F54" w:rsidRDefault="009E3F54" w:rsidP="009E3F54">
      <w:pPr>
        <w:numPr>
          <w:ilvl w:val="0"/>
          <w:numId w:val="7"/>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Veřejný výpis údajů z registrů osob (ROS)</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o výpis referenčních údajů libovolné podnikající fyzické osoby či organizace, evidované v registru osob (ROS). Neprovádí se ověření totožnosti žadatele.</w:t>
      </w:r>
    </w:p>
    <w:p w:rsidR="009E3F54" w:rsidRPr="009E3F54" w:rsidRDefault="009E3F54" w:rsidP="009E3F54">
      <w:pPr>
        <w:numPr>
          <w:ilvl w:val="0"/>
          <w:numId w:val="8"/>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Výpis o využití údajů z registru obyvatel (ROB)</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o výpis využívání referenčních údajů o jeho osobě v ROB orgány veřejné moci („kdo se na mě, kdy a za jakým účelem díval“). Provádí se ověření totožnosti žadatele nebo zmocnitele. Volí se období, za které se výpis požaduje.</w:t>
      </w:r>
    </w:p>
    <w:p w:rsidR="009E3F54" w:rsidRPr="009E3F54" w:rsidRDefault="009E3F54" w:rsidP="009E3F54">
      <w:pPr>
        <w:numPr>
          <w:ilvl w:val="0"/>
          <w:numId w:val="9"/>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Výpis o využití údajů z registru osob (ROS)</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o výpis využívání referenčních údajů podnikající fyzické osoby či organizace v ROS orgány veřejné moci („kdo se na mě, kdy a za jakým účelem díval“). Provádí se ověření totožnosti žadatele. Žadatel musí být osobou oprávněnou jednat za danou organizaci či přímo danou podnikající fyzickou osobou. Volí se období, za které se výpis požaduje.</w:t>
      </w:r>
    </w:p>
    <w:p w:rsidR="009E3F54" w:rsidRPr="009E3F54" w:rsidRDefault="009E3F54" w:rsidP="009E3F54">
      <w:pPr>
        <w:numPr>
          <w:ilvl w:val="0"/>
          <w:numId w:val="10"/>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změnu údajů v registru obyvatel</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o změnu nesprávných referenčních údajů, které jsou o něm vedeny v registru obyvatel (ROB). Žadatel může žádat o změnu svých údajů osobně, nebo prostřednictvím zmocněnce či zákonného zástupce.</w:t>
      </w:r>
    </w:p>
    <w:p w:rsidR="009E3F54" w:rsidRPr="009E3F54" w:rsidRDefault="009E3F54" w:rsidP="009E3F54">
      <w:pPr>
        <w:numPr>
          <w:ilvl w:val="0"/>
          <w:numId w:val="11"/>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změnu v registru osob</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o změnu nesprávných referenčních údajů, které jsou o podnikající fyzické osobě či organizaci vedeny v registru osob (ROS). Žadatelem musí být osoba oprávněná jednat za danou organizaci či přímo daná podnikající fyzická osoba.</w:t>
      </w:r>
    </w:p>
    <w:p w:rsidR="009E3F54" w:rsidRPr="009E3F54" w:rsidRDefault="009E3F54" w:rsidP="009E3F54">
      <w:pPr>
        <w:numPr>
          <w:ilvl w:val="0"/>
          <w:numId w:val="1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poskytování údajů třetí osobě</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Žadatel může požádat (nebo odvolat) poskytování svých referenčních údajů z registru obyvatel (ROB) a jejich změn třetí osobě. Referenční údaje jsou následně zasílány do datové schránky třetí osoby v rozsahu, který si určí žadatel. Žadatel může podat žádost osobně, nebo prostřednictvím zmocněnce či zákonného zástupce.</w:t>
      </w:r>
    </w:p>
    <w:p w:rsidR="009E3F54" w:rsidRPr="009E3F54" w:rsidRDefault="009E3F54" w:rsidP="009E3F54">
      <w:pPr>
        <w:spacing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Obecně o agendách datových schránek</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Při jakémkoliv podání v souvislosti s ISDS musí žadatel předložit platný doklad totožnosti. Zastupuje-li žadatel jinou osobu, musí být touto osobou zplnomocněn na základě plné moci, která je sepsána za tímto účelem a je notářsky ověřená.</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lastRenderedPageBreak/>
        <w:t>V případě, že je zřizována datová schránka pro právnickou osobu na žádost, je nutné navíc k žádosti doložit jmenovací dekret, usnesení valné hromady, či jakýkoliv jiný dokument, který určuje danou osobu jako jednatele či statutární orgán za danou právnickou osobu. I tento dokument musí být úředně ověřen. Všechny přiložené dokumenty k žádosti jsou konvertovány do elektronické podoby. Žádosti pak vždy spadají do správního řízení. Konverze je v těchto případech provedena zdarma.</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Činnosti v rámci informačního systému datových schránek jsou prováděny zdarma. Zpoplatněna je pouze konverze na žádost (30 Kč za stránku) a opakované vydání přístupových údajů (200 Kč).</w:t>
      </w:r>
    </w:p>
    <w:p w:rsidR="009E3F54" w:rsidRPr="009E3F54" w:rsidRDefault="009E3F54" w:rsidP="009E3F54">
      <w:pPr>
        <w:spacing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Seznam agend datových schránek</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Na kontaktních místech veřejné správy (Czech POINT) jsou zajišťovány následující agendy datových schránek:</w:t>
      </w:r>
    </w:p>
    <w:p w:rsidR="009E3F54" w:rsidRPr="009E3F54" w:rsidRDefault="009E3F54" w:rsidP="009E3F54">
      <w:pPr>
        <w:numPr>
          <w:ilvl w:val="0"/>
          <w:numId w:val="13"/>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zřízení datové schránky</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Na kontaktních místech veřejné správy Czech POINT je možné podat žádost o zřízení datové schránky. Žadatel předloží doklad totožnosti. Žádost vyplní pracovník přepážky elektronicky, následně jí vytiskne a předloží zákazníkovi ke kontrole a k podpisu. Datová schránka bude zřízena do tří dnů. Poté obdrží zákazník přístupové údaje poštovní zásilkou do vlastních rukou.</w:t>
      </w:r>
    </w:p>
    <w:p w:rsidR="009E3F54" w:rsidRPr="009E3F54" w:rsidRDefault="009E3F54" w:rsidP="009E3F54">
      <w:pPr>
        <w:numPr>
          <w:ilvl w:val="0"/>
          <w:numId w:val="14"/>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znepřístupnění datové schránky, která byla zřízena na žádost</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 xml:space="preserve">Použije se v případě, kdy žadatel potřebuje znepřístupnit datovou schránku podle </w:t>
      </w:r>
      <w:hyperlink r:id="rId17" w:tgtFrame="_blank" w:history="1">
        <w:r w:rsidRPr="009E3F54">
          <w:rPr>
            <w:rFonts w:ascii="&amp;quot" w:eastAsia="Times New Roman" w:hAnsi="&amp;quot" w:cs="Times New Roman"/>
            <w:color w:val="337AB7"/>
            <w:sz w:val="21"/>
            <w:szCs w:val="21"/>
            <w:u w:val="single"/>
            <w:lang w:eastAsia="cs-CZ"/>
          </w:rPr>
          <w:t>§ 11 odst. 4 zákona č. 300/2008 Sb.</w:t>
        </w:r>
      </w:hyperlink>
      <w:r w:rsidRPr="009E3F54">
        <w:rPr>
          <w:rFonts w:ascii="&amp;quot" w:eastAsia="Times New Roman" w:hAnsi="&amp;quot" w:cs="Times New Roman"/>
          <w:color w:val="333333"/>
          <w:sz w:val="21"/>
          <w:szCs w:val="21"/>
          <w:lang w:eastAsia="cs-CZ"/>
        </w:rPr>
        <w:t>, o elektronických úkonech a autorizované konverzi dokumentů.</w:t>
      </w:r>
    </w:p>
    <w:p w:rsidR="009E3F54" w:rsidRPr="009E3F54" w:rsidRDefault="009E3F54" w:rsidP="009E3F54">
      <w:pPr>
        <w:numPr>
          <w:ilvl w:val="0"/>
          <w:numId w:val="15"/>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Žádost o opětovné zpřístupnění datové schránky</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Použije se k obnovení dříve znepřístupněné datové schránky.</w:t>
      </w:r>
    </w:p>
    <w:p w:rsidR="009E3F54" w:rsidRPr="009E3F54" w:rsidRDefault="009E3F54" w:rsidP="009E3F54">
      <w:pPr>
        <w:numPr>
          <w:ilvl w:val="0"/>
          <w:numId w:val="16"/>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Podání žádosti o zneplatnění přístupových údajů do datové schránky a vydání nových</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V případě ztráty, nebo odcizení přístupových údajů do datové schránky může oprávněná osoba k datové schránce požádat o zneplatnění přístupových údajů a vystavení nových. Žadatel předloží doklad totožnosti. Žádost vyplní pracovník přepážky elektronicky, následně jí vytiskne a předloží zákazníkovi ke kontrole a k podpisu. Ke zneplatnění stávajících přístupových údajů dojde okamžitě, poté bude automaticky odeslán e-mail s odkazem na aktivační portál, kde si žadatel vyzvedne nové přístupové údaje.</w:t>
      </w:r>
    </w:p>
    <w:p w:rsidR="009E3F54" w:rsidRPr="009E3F54" w:rsidRDefault="009E3F54" w:rsidP="009E3F54">
      <w:pPr>
        <w:numPr>
          <w:ilvl w:val="0"/>
          <w:numId w:val="17"/>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Vyřízení reklamace obdržení přístupových údajů a vydání nových</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Tímto způsobem lze zjistit stav žádosti o zaslání nových přístupových údajů k datové schránce. Využít jej mohou žadatelé, kteří požadovali zaslání přístupových údajů prostřednictvím emailové adresy, a z nějakého důvodu jim přístupové údaje nebyly doručeny. Pracovník kontaktního místa nalezne pomocí formuláře chybu, vyřeší ji a dokončí doručení nových přístupových údajů k datové schránce.</w:t>
      </w:r>
    </w:p>
    <w:p w:rsidR="009E3F54" w:rsidRPr="009E3F54" w:rsidRDefault="009E3F54" w:rsidP="009E3F54">
      <w:pPr>
        <w:numPr>
          <w:ilvl w:val="0"/>
          <w:numId w:val="18"/>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Přidání pověřené osoby k přístupu do datové schránky</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Dojde k přidání pověřené osoby k přístupu do datové schránky. V oznámení je nutné zvolit typ oprávnění (pověřená osoba, administrátor). Dále je potřeba nastavit práva pro přístup pověřené osoby.</w:t>
      </w:r>
    </w:p>
    <w:p w:rsidR="009E3F54" w:rsidRPr="009E3F54" w:rsidRDefault="009E3F54" w:rsidP="009E3F54">
      <w:pPr>
        <w:numPr>
          <w:ilvl w:val="0"/>
          <w:numId w:val="19"/>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Zneplatnění přístupových údajů pověřené osoby (zrušení osoby)</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Dojde ke smazání pověřené osoby, která má přístup k datové schránce. Smazáním pověřené osoby dojde ke zneplatnění jejich přístupových údajů.</w:t>
      </w:r>
    </w:p>
    <w:p w:rsidR="009E3F54" w:rsidRPr="009E3F54" w:rsidRDefault="009E3F54" w:rsidP="009E3F54">
      <w:pPr>
        <w:numPr>
          <w:ilvl w:val="0"/>
          <w:numId w:val="20"/>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Povolení PO/PFO/FO dodávání dokumentů od PO/PFO/FO</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Datová schránka se nastaví do speciálního režimu, kdy je možné doručovat komerční datové zprávy do dané datové schránky. Tato služba je na straně ISDS zpoplatněna.</w:t>
      </w:r>
    </w:p>
    <w:p w:rsidR="009E3F54" w:rsidRPr="009E3F54" w:rsidRDefault="009E3F54" w:rsidP="009E3F54">
      <w:pPr>
        <w:numPr>
          <w:ilvl w:val="0"/>
          <w:numId w:val="21"/>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lastRenderedPageBreak/>
        <w:t>Zrušení PO/PFO/FO dodávání dokumentů od PO/PFO/FO</w:t>
      </w:r>
      <w:r w:rsidRPr="009E3F54">
        <w:rPr>
          <w:rFonts w:ascii="&amp;quot" w:eastAsia="Times New Roman" w:hAnsi="&amp;quot" w:cs="Times New Roman"/>
          <w:b/>
          <w:bCs/>
          <w:color w:val="333333"/>
          <w:sz w:val="21"/>
          <w:szCs w:val="21"/>
          <w:lang w:eastAsia="cs-CZ"/>
        </w:rPr>
        <w:br/>
      </w:r>
      <w:r w:rsidRPr="009E3F54">
        <w:rPr>
          <w:rFonts w:ascii="&amp;quot" w:eastAsia="Times New Roman" w:hAnsi="&amp;quot" w:cs="Times New Roman"/>
          <w:color w:val="333333"/>
          <w:sz w:val="21"/>
          <w:szCs w:val="21"/>
          <w:lang w:eastAsia="cs-CZ"/>
        </w:rPr>
        <w:t>Zruší se doručování komerčních zpráv do datové schránky. Je možné pouze komunikovat s orgány veřejné moci.</w:t>
      </w:r>
    </w:p>
    <w:p w:rsidR="009E3F54" w:rsidRPr="009E3F54" w:rsidRDefault="009E3F54" w:rsidP="009E3F54">
      <w:pPr>
        <w:spacing w:before="15" w:after="15" w:line="336" w:lineRule="auto"/>
        <w:outlineLvl w:val="2"/>
        <w:rPr>
          <w:rFonts w:ascii="inherit" w:eastAsia="Times New Roman" w:hAnsi="inherit" w:cs="Times New Roman"/>
          <w:color w:val="000000"/>
          <w:sz w:val="24"/>
          <w:szCs w:val="24"/>
          <w:lang w:eastAsia="cs-CZ"/>
        </w:rPr>
      </w:pPr>
      <w:r w:rsidRPr="009E3F54">
        <w:rPr>
          <w:rFonts w:ascii="inherit" w:eastAsia="Times New Roman" w:hAnsi="inherit" w:cs="Times New Roman"/>
          <w:color w:val="000000"/>
          <w:sz w:val="24"/>
          <w:szCs w:val="24"/>
          <w:lang w:eastAsia="cs-CZ"/>
        </w:rPr>
        <w:t>Konverze</w:t>
      </w:r>
    </w:p>
    <w:p w:rsidR="009E3F54" w:rsidRPr="009E3F54" w:rsidRDefault="004C0370" w:rsidP="009E3F54">
      <w:pPr>
        <w:spacing w:after="150" w:line="240" w:lineRule="auto"/>
        <w:rPr>
          <w:rFonts w:ascii="&amp;quot" w:eastAsia="Times New Roman" w:hAnsi="&amp;quot" w:cs="Times New Roman"/>
          <w:color w:val="333333"/>
          <w:sz w:val="21"/>
          <w:szCs w:val="21"/>
          <w:lang w:eastAsia="cs-CZ"/>
        </w:rPr>
      </w:pPr>
      <w:hyperlink r:id="rId18" w:tgtFrame="_blank" w:history="1">
        <w:r w:rsidR="009E3F54" w:rsidRPr="009E3F54">
          <w:rPr>
            <w:rFonts w:ascii="&amp;quot" w:eastAsia="Times New Roman" w:hAnsi="&amp;quot" w:cs="Times New Roman"/>
            <w:color w:val="337AB7"/>
            <w:sz w:val="21"/>
            <w:szCs w:val="21"/>
            <w:u w:val="single"/>
            <w:lang w:eastAsia="cs-CZ"/>
          </w:rPr>
          <w:t>Zákon č. 300/2008 Sb.</w:t>
        </w:r>
      </w:hyperlink>
      <w:r w:rsidR="009E3F54" w:rsidRPr="009E3F54">
        <w:rPr>
          <w:rFonts w:ascii="&amp;quot" w:eastAsia="Times New Roman" w:hAnsi="&amp;quot" w:cs="Times New Roman"/>
          <w:color w:val="333333"/>
          <w:sz w:val="21"/>
          <w:szCs w:val="21"/>
          <w:lang w:eastAsia="cs-CZ"/>
        </w:rPr>
        <w:t xml:space="preserve"> o elektronických úkonech a autorizované konverzi dokumentů, zavádí termín konverze dokumentů. Technické parametry ke konverzi specifikuje </w:t>
      </w:r>
      <w:hyperlink r:id="rId19" w:tgtFrame="_blank" w:history="1">
        <w:r w:rsidR="009E3F54" w:rsidRPr="009E3F54">
          <w:rPr>
            <w:rFonts w:ascii="&amp;quot" w:eastAsia="Times New Roman" w:hAnsi="&amp;quot" w:cs="Times New Roman"/>
            <w:color w:val="337AB7"/>
            <w:sz w:val="21"/>
            <w:szCs w:val="21"/>
            <w:u w:val="single"/>
            <w:lang w:eastAsia="cs-CZ"/>
          </w:rPr>
          <w:t>vyhláška č. 193/2009</w:t>
        </w:r>
      </w:hyperlink>
      <w:r w:rsidR="009E3F54" w:rsidRPr="009E3F54">
        <w:rPr>
          <w:rFonts w:ascii="&amp;quot" w:eastAsia="Times New Roman" w:hAnsi="&amp;quot" w:cs="Times New Roman"/>
          <w:color w:val="333333"/>
          <w:sz w:val="21"/>
          <w:szCs w:val="21"/>
          <w:lang w:eastAsia="cs-CZ"/>
        </w:rPr>
        <w:t>, o stanovení podrobností provádění autorizované konverze dokumentů</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Konverze je:</w:t>
      </w:r>
    </w:p>
    <w:p w:rsidR="009E3F54" w:rsidRPr="009E3F54" w:rsidRDefault="009E3F54" w:rsidP="009E3F54">
      <w:pPr>
        <w:numPr>
          <w:ilvl w:val="0"/>
          <w:numId w:val="2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úplné převedení dokumentu v listinné podobě do dokumentu obsaženého v datové zprávě nebo datovém souboru způsobem zajišťujícím shodu obsahu těchto dokumentů a připojení doložky o provedení konverze, nebo</w:t>
      </w:r>
    </w:p>
    <w:p w:rsidR="009E3F54" w:rsidRPr="009E3F54" w:rsidRDefault="009E3F54" w:rsidP="009E3F54">
      <w:pPr>
        <w:numPr>
          <w:ilvl w:val="0"/>
          <w:numId w:val="22"/>
        </w:numPr>
        <w:spacing w:before="100" w:beforeAutospacing="1" w:after="100" w:afterAutospacing="1"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úplné převedení dokumentu obsaženého v datové zprávě či datovém souboru do dokumentu v listinné podobě způsobem zajišťujícím shodu obsahu těchto dokumentů a připojení doložky o provedení konverze.</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Dokument, který provedením konverze vznikne, má stejné právní účinky jako dokument, jehož převedením výstup vznikl. Konverzí se nepotvrzuje správnost a pravdivost údajů obsažených ve vstupu a jejich soulad s právními předpisy. Doložka o provedení konverze se ukládá do Centrálního úložiště ověřovacích doložek.</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Pro veřejnost je určena tzv.  konverze na žádost, která funguje následujícím způsobem.</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Konverze dokumentu v listinné podobě do dokumentu obsaženého v datové zprávě nebo datovém souboru </w:t>
      </w:r>
      <w:r w:rsidRPr="009E3F54">
        <w:rPr>
          <w:rFonts w:ascii="&amp;quot" w:eastAsia="Times New Roman" w:hAnsi="&amp;quot" w:cs="Times New Roman"/>
          <w:color w:val="333333"/>
          <w:sz w:val="21"/>
          <w:szCs w:val="21"/>
          <w:lang w:eastAsia="cs-CZ"/>
        </w:rPr>
        <w:t>– zákazník přinese listinu, kterou chce konvertovat, a zvolí si formu výstupu – CD/DVD nebo možnost zaslání do tzv. Úschovny, tedy do úložiště konvertovaných dokumentů, kde si jej nejpozději do 7 dnů vyzvedne. Úhrada nosiče CD/DVD je provedena v rámci úhrady poplatku za konverzi. Výstupem konverze bude dokument ve formátu PDF verze 1.7 a vyšší.</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b/>
          <w:bCs/>
          <w:color w:val="333333"/>
          <w:sz w:val="21"/>
          <w:szCs w:val="21"/>
          <w:lang w:eastAsia="cs-CZ"/>
        </w:rPr>
        <w:t>Konverze dokumentu obsaženého v datové zprávě nebo datovém souboru do dokumentu v listinné podobě</w:t>
      </w:r>
      <w:r w:rsidRPr="009E3F54">
        <w:rPr>
          <w:rFonts w:ascii="&amp;quot" w:eastAsia="Times New Roman" w:hAnsi="&amp;quot" w:cs="Times New Roman"/>
          <w:color w:val="333333"/>
          <w:sz w:val="21"/>
          <w:szCs w:val="21"/>
          <w:lang w:eastAsia="cs-CZ"/>
        </w:rPr>
        <w:t> –  dokument, který chce zákazník konvertovat, je možné přinést na CD/DVD nebo vložit do Úschovny (datového úložiště) ručně či posláním z datové schránky zákazníka. V tomto případě s sebou zákazník přinese potvrzení o vložení dokumentu do datového úložiště pro potřeby konverze, které obsahuje jeho jednoznačnou identifikaci. Vstupní dokument musí být ve formátu PDF verze 1.3 a vyšší.</w:t>
      </w:r>
    </w:p>
    <w:p w:rsidR="009E3F54" w:rsidRPr="009E3F54" w:rsidRDefault="009E3F54" w:rsidP="009E3F54">
      <w:pPr>
        <w:spacing w:after="150" w:line="240" w:lineRule="auto"/>
        <w:rPr>
          <w:rFonts w:ascii="&amp;quot" w:eastAsia="Times New Roman" w:hAnsi="&amp;quot" w:cs="Times New Roman"/>
          <w:color w:val="333333"/>
          <w:sz w:val="21"/>
          <w:szCs w:val="21"/>
          <w:lang w:eastAsia="cs-CZ"/>
        </w:rPr>
      </w:pPr>
      <w:r w:rsidRPr="009E3F54">
        <w:rPr>
          <w:rFonts w:ascii="&amp;quot" w:eastAsia="Times New Roman" w:hAnsi="&amp;quot" w:cs="Times New Roman"/>
          <w:color w:val="333333"/>
          <w:sz w:val="21"/>
          <w:szCs w:val="21"/>
          <w:lang w:eastAsia="cs-CZ"/>
        </w:rPr>
        <w:t>Orgány veřejné moci mohou využívat konverzi z moci úřední pro výkon své působnosti.</w:t>
      </w:r>
    </w:p>
    <w:p w:rsidR="003004FA" w:rsidRDefault="003004FA"/>
    <w:sectPr w:rsidR="0030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C40"/>
    <w:multiLevelType w:val="multilevel"/>
    <w:tmpl w:val="409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1335"/>
    <w:multiLevelType w:val="multilevel"/>
    <w:tmpl w:val="002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E0A3D"/>
    <w:multiLevelType w:val="multilevel"/>
    <w:tmpl w:val="E16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F065C"/>
    <w:multiLevelType w:val="multilevel"/>
    <w:tmpl w:val="3F9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774C"/>
    <w:multiLevelType w:val="multilevel"/>
    <w:tmpl w:val="DB6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E07C5"/>
    <w:multiLevelType w:val="multilevel"/>
    <w:tmpl w:val="9D6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275E1"/>
    <w:multiLevelType w:val="multilevel"/>
    <w:tmpl w:val="28E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D76B8"/>
    <w:multiLevelType w:val="multilevel"/>
    <w:tmpl w:val="6CA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79EF"/>
    <w:multiLevelType w:val="multilevel"/>
    <w:tmpl w:val="4D9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649B"/>
    <w:multiLevelType w:val="multilevel"/>
    <w:tmpl w:val="B71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4449A"/>
    <w:multiLevelType w:val="multilevel"/>
    <w:tmpl w:val="0B4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01F08"/>
    <w:multiLevelType w:val="multilevel"/>
    <w:tmpl w:val="69C8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71D16"/>
    <w:multiLevelType w:val="multilevel"/>
    <w:tmpl w:val="223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6504A"/>
    <w:multiLevelType w:val="multilevel"/>
    <w:tmpl w:val="F0EE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41A46"/>
    <w:multiLevelType w:val="multilevel"/>
    <w:tmpl w:val="288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526A8"/>
    <w:multiLevelType w:val="multilevel"/>
    <w:tmpl w:val="485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D7E4E"/>
    <w:multiLevelType w:val="multilevel"/>
    <w:tmpl w:val="A21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3499F"/>
    <w:multiLevelType w:val="multilevel"/>
    <w:tmpl w:val="179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B5708"/>
    <w:multiLevelType w:val="multilevel"/>
    <w:tmpl w:val="21B0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F2DA8"/>
    <w:multiLevelType w:val="multilevel"/>
    <w:tmpl w:val="678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372759"/>
    <w:multiLevelType w:val="multilevel"/>
    <w:tmpl w:val="70F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B5E33"/>
    <w:multiLevelType w:val="multilevel"/>
    <w:tmpl w:val="2E7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5"/>
  </w:num>
  <w:num w:numId="5">
    <w:abstractNumId w:val="8"/>
  </w:num>
  <w:num w:numId="6">
    <w:abstractNumId w:val="9"/>
  </w:num>
  <w:num w:numId="7">
    <w:abstractNumId w:val="4"/>
  </w:num>
  <w:num w:numId="8">
    <w:abstractNumId w:val="15"/>
  </w:num>
  <w:num w:numId="9">
    <w:abstractNumId w:val="10"/>
  </w:num>
  <w:num w:numId="10">
    <w:abstractNumId w:val="6"/>
  </w:num>
  <w:num w:numId="11">
    <w:abstractNumId w:val="18"/>
  </w:num>
  <w:num w:numId="12">
    <w:abstractNumId w:val="1"/>
  </w:num>
  <w:num w:numId="13">
    <w:abstractNumId w:val="21"/>
  </w:num>
  <w:num w:numId="14">
    <w:abstractNumId w:val="19"/>
  </w:num>
  <w:num w:numId="15">
    <w:abstractNumId w:val="16"/>
  </w:num>
  <w:num w:numId="16">
    <w:abstractNumId w:val="12"/>
  </w:num>
  <w:num w:numId="17">
    <w:abstractNumId w:val="14"/>
  </w:num>
  <w:num w:numId="18">
    <w:abstractNumId w:val="17"/>
  </w:num>
  <w:num w:numId="19">
    <w:abstractNumId w:val="20"/>
  </w:num>
  <w:num w:numId="20">
    <w:abstractNumId w:val="3"/>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4"/>
    <w:rsid w:val="003004FA"/>
    <w:rsid w:val="004C0370"/>
    <w:rsid w:val="009E3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5DDA-A2CF-4FC7-BADB-CCDA6DB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9E3F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E3F5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E3F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E3F54"/>
    <w:rPr>
      <w:color w:val="0000FF"/>
      <w:u w:val="single"/>
    </w:rPr>
  </w:style>
  <w:style w:type="character" w:styleId="Siln">
    <w:name w:val="Strong"/>
    <w:basedOn w:val="Standardnpsmoodstavce"/>
    <w:uiPriority w:val="22"/>
    <w:qFormat/>
    <w:rsid w:val="009E3F54"/>
    <w:rPr>
      <w:b/>
      <w:bCs/>
    </w:rPr>
  </w:style>
  <w:style w:type="character" w:customStyle="1" w:styleId="explanatory-dictionary-highlight">
    <w:name w:val="explanatory-dictionary-highlight"/>
    <w:basedOn w:val="Standardnpsmoodstavce"/>
    <w:rsid w:val="009E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094">
      <w:bodyDiv w:val="1"/>
      <w:marLeft w:val="0"/>
      <w:marRight w:val="0"/>
      <w:marTop w:val="0"/>
      <w:marBottom w:val="0"/>
      <w:divBdr>
        <w:top w:val="none" w:sz="0" w:space="0" w:color="auto"/>
        <w:left w:val="none" w:sz="0" w:space="0" w:color="auto"/>
        <w:bottom w:val="none" w:sz="0" w:space="0" w:color="auto"/>
        <w:right w:val="none" w:sz="0" w:space="0" w:color="auto"/>
      </w:divBdr>
      <w:divsChild>
        <w:div w:id="199786242">
          <w:marLeft w:val="0"/>
          <w:marRight w:val="0"/>
          <w:marTop w:val="105"/>
          <w:marBottom w:val="105"/>
          <w:divBdr>
            <w:top w:val="single" w:sz="12" w:space="0" w:color="DEDEDE"/>
            <w:left w:val="single" w:sz="12" w:space="0" w:color="DEDEDE"/>
            <w:bottom w:val="single" w:sz="12" w:space="0" w:color="DEDEDE"/>
            <w:right w:val="single" w:sz="12" w:space="0" w:color="DEDEDE"/>
          </w:divBdr>
          <w:divsChild>
            <w:div w:id="1768892099">
              <w:marLeft w:val="0"/>
              <w:marRight w:val="0"/>
              <w:marTop w:val="0"/>
              <w:marBottom w:val="0"/>
              <w:divBdr>
                <w:top w:val="single" w:sz="12" w:space="15" w:color="DEDEDE"/>
                <w:left w:val="none" w:sz="0" w:space="0" w:color="auto"/>
                <w:bottom w:val="none" w:sz="0" w:space="0" w:color="auto"/>
                <w:right w:val="none" w:sz="0" w:space="0" w:color="auto"/>
              </w:divBdr>
            </w:div>
          </w:divsChild>
        </w:div>
        <w:div w:id="1495411625">
          <w:marLeft w:val="0"/>
          <w:marRight w:val="0"/>
          <w:marTop w:val="105"/>
          <w:marBottom w:val="105"/>
          <w:divBdr>
            <w:top w:val="single" w:sz="12" w:space="0" w:color="DEDEDE"/>
            <w:left w:val="single" w:sz="12" w:space="0" w:color="DEDEDE"/>
            <w:bottom w:val="single" w:sz="12" w:space="0" w:color="DEDEDE"/>
            <w:right w:val="single" w:sz="12" w:space="0" w:color="DEDEDE"/>
          </w:divBdr>
          <w:divsChild>
            <w:div w:id="35930909">
              <w:marLeft w:val="0"/>
              <w:marRight w:val="0"/>
              <w:marTop w:val="0"/>
              <w:marBottom w:val="0"/>
              <w:divBdr>
                <w:top w:val="single" w:sz="12" w:space="15" w:color="DEDEDE"/>
                <w:left w:val="none" w:sz="0" w:space="0" w:color="auto"/>
                <w:bottom w:val="none" w:sz="0" w:space="0" w:color="auto"/>
                <w:right w:val="none" w:sz="0" w:space="0" w:color="auto"/>
              </w:divBdr>
            </w:div>
          </w:divsChild>
        </w:div>
      </w:divsChild>
    </w:div>
    <w:div w:id="283653850">
      <w:bodyDiv w:val="1"/>
      <w:marLeft w:val="0"/>
      <w:marRight w:val="0"/>
      <w:marTop w:val="0"/>
      <w:marBottom w:val="0"/>
      <w:divBdr>
        <w:top w:val="none" w:sz="0" w:space="0" w:color="auto"/>
        <w:left w:val="none" w:sz="0" w:space="0" w:color="auto"/>
        <w:bottom w:val="none" w:sz="0" w:space="0" w:color="auto"/>
        <w:right w:val="none" w:sz="0" w:space="0" w:color="auto"/>
      </w:divBdr>
      <w:divsChild>
        <w:div w:id="1065183316">
          <w:marLeft w:val="0"/>
          <w:marRight w:val="0"/>
          <w:marTop w:val="0"/>
          <w:marBottom w:val="0"/>
          <w:divBdr>
            <w:top w:val="single" w:sz="12" w:space="15" w:color="DEDEDE"/>
            <w:left w:val="none" w:sz="0" w:space="0" w:color="auto"/>
            <w:bottom w:val="none" w:sz="0" w:space="0" w:color="auto"/>
            <w:right w:val="none" w:sz="0" w:space="0" w:color="auto"/>
          </w:divBdr>
        </w:div>
      </w:divsChild>
    </w:div>
    <w:div w:id="313341782">
      <w:bodyDiv w:val="1"/>
      <w:marLeft w:val="0"/>
      <w:marRight w:val="0"/>
      <w:marTop w:val="0"/>
      <w:marBottom w:val="0"/>
      <w:divBdr>
        <w:top w:val="none" w:sz="0" w:space="0" w:color="auto"/>
        <w:left w:val="none" w:sz="0" w:space="0" w:color="auto"/>
        <w:bottom w:val="none" w:sz="0" w:space="0" w:color="auto"/>
        <w:right w:val="none" w:sz="0" w:space="0" w:color="auto"/>
      </w:divBdr>
      <w:divsChild>
        <w:div w:id="1930960562">
          <w:marLeft w:val="0"/>
          <w:marRight w:val="0"/>
          <w:marTop w:val="0"/>
          <w:marBottom w:val="0"/>
          <w:divBdr>
            <w:top w:val="single" w:sz="12" w:space="15" w:color="DEDEDE"/>
            <w:left w:val="none" w:sz="0" w:space="0" w:color="auto"/>
            <w:bottom w:val="none" w:sz="0" w:space="0" w:color="auto"/>
            <w:right w:val="none" w:sz="0" w:space="0" w:color="auto"/>
          </w:divBdr>
        </w:div>
      </w:divsChild>
    </w:div>
    <w:div w:id="339358330">
      <w:bodyDiv w:val="1"/>
      <w:marLeft w:val="0"/>
      <w:marRight w:val="0"/>
      <w:marTop w:val="0"/>
      <w:marBottom w:val="0"/>
      <w:divBdr>
        <w:top w:val="none" w:sz="0" w:space="0" w:color="auto"/>
        <w:left w:val="none" w:sz="0" w:space="0" w:color="auto"/>
        <w:bottom w:val="none" w:sz="0" w:space="0" w:color="auto"/>
        <w:right w:val="none" w:sz="0" w:space="0" w:color="auto"/>
      </w:divBdr>
      <w:divsChild>
        <w:div w:id="954019837">
          <w:marLeft w:val="0"/>
          <w:marRight w:val="0"/>
          <w:marTop w:val="0"/>
          <w:marBottom w:val="0"/>
          <w:divBdr>
            <w:top w:val="single" w:sz="12" w:space="15" w:color="DEDEDE"/>
            <w:left w:val="none" w:sz="0" w:space="0" w:color="auto"/>
            <w:bottom w:val="none" w:sz="0" w:space="0" w:color="auto"/>
            <w:right w:val="none" w:sz="0" w:space="0" w:color="auto"/>
          </w:divBdr>
        </w:div>
      </w:divsChild>
    </w:div>
    <w:div w:id="744491638">
      <w:bodyDiv w:val="1"/>
      <w:marLeft w:val="0"/>
      <w:marRight w:val="0"/>
      <w:marTop w:val="0"/>
      <w:marBottom w:val="0"/>
      <w:divBdr>
        <w:top w:val="none" w:sz="0" w:space="0" w:color="auto"/>
        <w:left w:val="none" w:sz="0" w:space="0" w:color="auto"/>
        <w:bottom w:val="none" w:sz="0" w:space="0" w:color="auto"/>
        <w:right w:val="none" w:sz="0" w:space="0" w:color="auto"/>
      </w:divBdr>
      <w:divsChild>
        <w:div w:id="1019429940">
          <w:marLeft w:val="0"/>
          <w:marRight w:val="0"/>
          <w:marTop w:val="0"/>
          <w:marBottom w:val="0"/>
          <w:divBdr>
            <w:top w:val="single" w:sz="12" w:space="15" w:color="DEDEDE"/>
            <w:left w:val="none" w:sz="0" w:space="0" w:color="auto"/>
            <w:bottom w:val="none" w:sz="0" w:space="0" w:color="auto"/>
            <w:right w:val="none" w:sz="0" w:space="0" w:color="auto"/>
          </w:divBdr>
        </w:div>
      </w:divsChild>
    </w:div>
    <w:div w:id="835725984">
      <w:bodyDiv w:val="1"/>
      <w:marLeft w:val="0"/>
      <w:marRight w:val="0"/>
      <w:marTop w:val="0"/>
      <w:marBottom w:val="0"/>
      <w:divBdr>
        <w:top w:val="none" w:sz="0" w:space="0" w:color="auto"/>
        <w:left w:val="none" w:sz="0" w:space="0" w:color="auto"/>
        <w:bottom w:val="none" w:sz="0" w:space="0" w:color="auto"/>
        <w:right w:val="none" w:sz="0" w:space="0" w:color="auto"/>
      </w:divBdr>
      <w:divsChild>
        <w:div w:id="252397768">
          <w:marLeft w:val="0"/>
          <w:marRight w:val="0"/>
          <w:marTop w:val="0"/>
          <w:marBottom w:val="0"/>
          <w:divBdr>
            <w:top w:val="single" w:sz="12" w:space="15" w:color="DEDEDE"/>
            <w:left w:val="none" w:sz="0" w:space="0" w:color="auto"/>
            <w:bottom w:val="none" w:sz="0" w:space="0" w:color="auto"/>
            <w:right w:val="none" w:sz="0" w:space="0" w:color="auto"/>
          </w:divBdr>
        </w:div>
      </w:divsChild>
    </w:div>
    <w:div w:id="897201960">
      <w:bodyDiv w:val="1"/>
      <w:marLeft w:val="0"/>
      <w:marRight w:val="0"/>
      <w:marTop w:val="0"/>
      <w:marBottom w:val="0"/>
      <w:divBdr>
        <w:top w:val="none" w:sz="0" w:space="0" w:color="auto"/>
        <w:left w:val="none" w:sz="0" w:space="0" w:color="auto"/>
        <w:bottom w:val="none" w:sz="0" w:space="0" w:color="auto"/>
        <w:right w:val="none" w:sz="0" w:space="0" w:color="auto"/>
      </w:divBdr>
      <w:divsChild>
        <w:div w:id="1128234993">
          <w:marLeft w:val="0"/>
          <w:marRight w:val="0"/>
          <w:marTop w:val="105"/>
          <w:marBottom w:val="105"/>
          <w:divBdr>
            <w:top w:val="single" w:sz="12" w:space="0" w:color="DEDEDE"/>
            <w:left w:val="single" w:sz="12" w:space="0" w:color="DEDEDE"/>
            <w:bottom w:val="single" w:sz="12" w:space="0" w:color="DEDEDE"/>
            <w:right w:val="single" w:sz="12" w:space="0" w:color="DEDEDE"/>
          </w:divBdr>
          <w:divsChild>
            <w:div w:id="894583658">
              <w:marLeft w:val="0"/>
              <w:marRight w:val="0"/>
              <w:marTop w:val="0"/>
              <w:marBottom w:val="0"/>
              <w:divBdr>
                <w:top w:val="single" w:sz="12" w:space="15" w:color="DEDEDE"/>
                <w:left w:val="none" w:sz="0" w:space="0" w:color="auto"/>
                <w:bottom w:val="none" w:sz="0" w:space="0" w:color="auto"/>
                <w:right w:val="none" w:sz="0" w:space="0" w:color="auto"/>
              </w:divBdr>
            </w:div>
          </w:divsChild>
        </w:div>
        <w:div w:id="326977299">
          <w:marLeft w:val="0"/>
          <w:marRight w:val="0"/>
          <w:marTop w:val="105"/>
          <w:marBottom w:val="105"/>
          <w:divBdr>
            <w:top w:val="single" w:sz="12" w:space="0" w:color="DEDEDE"/>
            <w:left w:val="single" w:sz="12" w:space="0" w:color="DEDEDE"/>
            <w:bottom w:val="single" w:sz="12" w:space="0" w:color="DEDEDE"/>
            <w:right w:val="single" w:sz="12" w:space="0" w:color="DEDEDE"/>
          </w:divBdr>
          <w:divsChild>
            <w:div w:id="1990943341">
              <w:marLeft w:val="0"/>
              <w:marRight w:val="0"/>
              <w:marTop w:val="0"/>
              <w:marBottom w:val="0"/>
              <w:divBdr>
                <w:top w:val="single" w:sz="12" w:space="15" w:color="DEDEDE"/>
                <w:left w:val="none" w:sz="0" w:space="0" w:color="auto"/>
                <w:bottom w:val="none" w:sz="0" w:space="0" w:color="auto"/>
                <w:right w:val="none" w:sz="0" w:space="0" w:color="auto"/>
              </w:divBdr>
            </w:div>
          </w:divsChild>
        </w:div>
      </w:divsChild>
    </w:div>
    <w:div w:id="1156727516">
      <w:bodyDiv w:val="1"/>
      <w:marLeft w:val="0"/>
      <w:marRight w:val="0"/>
      <w:marTop w:val="0"/>
      <w:marBottom w:val="0"/>
      <w:divBdr>
        <w:top w:val="none" w:sz="0" w:space="0" w:color="auto"/>
        <w:left w:val="none" w:sz="0" w:space="0" w:color="auto"/>
        <w:bottom w:val="none" w:sz="0" w:space="0" w:color="auto"/>
        <w:right w:val="none" w:sz="0" w:space="0" w:color="auto"/>
      </w:divBdr>
      <w:divsChild>
        <w:div w:id="1821341399">
          <w:marLeft w:val="0"/>
          <w:marRight w:val="0"/>
          <w:marTop w:val="0"/>
          <w:marBottom w:val="0"/>
          <w:divBdr>
            <w:top w:val="single" w:sz="12" w:space="15" w:color="DEDEDE"/>
            <w:left w:val="none" w:sz="0" w:space="0" w:color="auto"/>
            <w:bottom w:val="none" w:sz="0" w:space="0" w:color="auto"/>
            <w:right w:val="none" w:sz="0" w:space="0" w:color="auto"/>
          </w:divBdr>
        </w:div>
      </w:divsChild>
    </w:div>
    <w:div w:id="1557206722">
      <w:bodyDiv w:val="1"/>
      <w:marLeft w:val="0"/>
      <w:marRight w:val="0"/>
      <w:marTop w:val="0"/>
      <w:marBottom w:val="0"/>
      <w:divBdr>
        <w:top w:val="none" w:sz="0" w:space="0" w:color="auto"/>
        <w:left w:val="none" w:sz="0" w:space="0" w:color="auto"/>
        <w:bottom w:val="none" w:sz="0" w:space="0" w:color="auto"/>
        <w:right w:val="none" w:sz="0" w:space="0" w:color="auto"/>
      </w:divBdr>
      <w:divsChild>
        <w:div w:id="1851723366">
          <w:marLeft w:val="0"/>
          <w:marRight w:val="0"/>
          <w:marTop w:val="0"/>
          <w:marBottom w:val="0"/>
          <w:divBdr>
            <w:top w:val="single" w:sz="12" w:space="15" w:color="DEDEDE"/>
            <w:left w:val="none" w:sz="0" w:space="0" w:color="auto"/>
            <w:bottom w:val="none" w:sz="0" w:space="0" w:color="auto"/>
            <w:right w:val="none" w:sz="0" w:space="0" w:color="auto"/>
          </w:divBdr>
        </w:div>
      </w:divsChild>
    </w:div>
    <w:div w:id="1812941763">
      <w:bodyDiv w:val="1"/>
      <w:marLeft w:val="0"/>
      <w:marRight w:val="0"/>
      <w:marTop w:val="0"/>
      <w:marBottom w:val="0"/>
      <w:divBdr>
        <w:top w:val="none" w:sz="0" w:space="0" w:color="auto"/>
        <w:left w:val="none" w:sz="0" w:space="0" w:color="auto"/>
        <w:bottom w:val="none" w:sz="0" w:space="0" w:color="auto"/>
        <w:right w:val="none" w:sz="0" w:space="0" w:color="auto"/>
      </w:divBdr>
      <w:divsChild>
        <w:div w:id="2087680825">
          <w:marLeft w:val="0"/>
          <w:marRight w:val="0"/>
          <w:marTop w:val="0"/>
          <w:marBottom w:val="0"/>
          <w:divBdr>
            <w:top w:val="single" w:sz="12" w:space="15" w:color="DEDEDE"/>
            <w:left w:val="none" w:sz="0" w:space="0" w:color="auto"/>
            <w:bottom w:val="none" w:sz="0" w:space="0" w:color="auto"/>
            <w:right w:val="none" w:sz="0" w:space="0" w:color="auto"/>
          </w:divBdr>
        </w:div>
      </w:divsChild>
    </w:div>
    <w:div w:id="1898003478">
      <w:bodyDiv w:val="1"/>
      <w:marLeft w:val="0"/>
      <w:marRight w:val="0"/>
      <w:marTop w:val="0"/>
      <w:marBottom w:val="0"/>
      <w:divBdr>
        <w:top w:val="none" w:sz="0" w:space="0" w:color="auto"/>
        <w:left w:val="none" w:sz="0" w:space="0" w:color="auto"/>
        <w:bottom w:val="none" w:sz="0" w:space="0" w:color="auto"/>
        <w:right w:val="none" w:sz="0" w:space="0" w:color="auto"/>
      </w:divBdr>
      <w:divsChild>
        <w:div w:id="13848234">
          <w:marLeft w:val="0"/>
          <w:marRight w:val="0"/>
          <w:marTop w:val="0"/>
          <w:marBottom w:val="0"/>
          <w:divBdr>
            <w:top w:val="single" w:sz="12" w:space="15" w:color="DEDED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ice.cz/" TargetMode="External"/><Relationship Id="rId13" Type="http://schemas.openxmlformats.org/officeDocument/2006/relationships/hyperlink" Target="http://www.czechpoint.cz/data/files/Zadost_o_vypis_z_evidence_PO_pro_FO_verze_PDF.pdf" TargetMode="External"/><Relationship Id="rId18" Type="http://schemas.openxmlformats.org/officeDocument/2006/relationships/hyperlink" Target="http://portal.gov.cz/app/zakony/zakon.jsp?q=300/200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rtal.gov.cz/app/zakony/zakon?q=480/2008" TargetMode="External"/><Relationship Id="rId12" Type="http://schemas.openxmlformats.org/officeDocument/2006/relationships/hyperlink" Target="http://portal.gov.cz/app/zakony/zakon.jsp?q=420/2011" TargetMode="External"/><Relationship Id="rId17" Type="http://schemas.openxmlformats.org/officeDocument/2006/relationships/hyperlink" Target="http://portal.gov.cz/app/zakony/zakon.jsp?q=300/2008&amp;par=11" TargetMode="External"/><Relationship Id="rId2" Type="http://schemas.openxmlformats.org/officeDocument/2006/relationships/styles" Target="styles.xml"/><Relationship Id="rId16" Type="http://schemas.openxmlformats.org/officeDocument/2006/relationships/hyperlink" Target="http://www.szrcr.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dcr.cz/" TargetMode="External"/><Relationship Id="rId11" Type="http://schemas.openxmlformats.org/officeDocument/2006/relationships/hyperlink" Target="http://portal.gov.cz/app/zakony/zakon.jsp?q=418/2011" TargetMode="External"/><Relationship Id="rId5" Type="http://schemas.openxmlformats.org/officeDocument/2006/relationships/hyperlink" Target="http://www.mmr.cz/" TargetMode="External"/><Relationship Id="rId15" Type="http://schemas.openxmlformats.org/officeDocument/2006/relationships/hyperlink" Target="http://portal.gov.cz/app/zakony/zakon?q=111/2009" TargetMode="External"/><Relationship Id="rId10" Type="http://schemas.openxmlformats.org/officeDocument/2006/relationships/hyperlink" Target="http://portal.gov.cz/app/zakony/zakon?q=634/2004" TargetMode="External"/><Relationship Id="rId19" Type="http://schemas.openxmlformats.org/officeDocument/2006/relationships/hyperlink" Target="http://portal.gov.cz/app/zakony/zakon.jsp?q=193/2009" TargetMode="External"/><Relationship Id="rId4" Type="http://schemas.openxmlformats.org/officeDocument/2006/relationships/webSettings" Target="webSettings.xml"/><Relationship Id="rId9" Type="http://schemas.openxmlformats.org/officeDocument/2006/relationships/hyperlink" Target="http://portal.gov.cz/app/zakony/zakon.jsp?q=269/1994&amp;par=11a" TargetMode="External"/><Relationship Id="rId14" Type="http://schemas.openxmlformats.org/officeDocument/2006/relationships/hyperlink" Target="http://portal.gov.cz/app/zakony/zakon?q=304/201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16518</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Kozáková</dc:creator>
  <cp:keywords/>
  <dc:description/>
  <cp:lastModifiedBy>Pavlina Utěšená</cp:lastModifiedBy>
  <cp:revision>2</cp:revision>
  <dcterms:created xsi:type="dcterms:W3CDTF">2019-03-27T10:05:00Z</dcterms:created>
  <dcterms:modified xsi:type="dcterms:W3CDTF">2019-03-27T10:05:00Z</dcterms:modified>
</cp:coreProperties>
</file>